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5" w:rsidRDefault="0059750B" w:rsidP="0059750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9750B">
        <w:rPr>
          <w:rFonts w:asciiTheme="majorEastAsia" w:eastAsiaTheme="majorEastAsia" w:hAnsiTheme="majorEastAsia" w:hint="eastAsia"/>
          <w:b/>
          <w:sz w:val="24"/>
          <w:szCs w:val="24"/>
        </w:rPr>
        <w:t>经济数学教研室教材选用</w:t>
      </w:r>
      <w:bookmarkStart w:id="0" w:name="_GoBack"/>
      <w:bookmarkEnd w:id="0"/>
      <w:r w:rsidRPr="0059750B">
        <w:rPr>
          <w:rFonts w:asciiTheme="majorEastAsia" w:eastAsiaTheme="majorEastAsia" w:hAnsiTheme="majorEastAsia" w:hint="eastAsia"/>
          <w:b/>
          <w:sz w:val="24"/>
          <w:szCs w:val="24"/>
        </w:rPr>
        <w:t>情况</w:t>
      </w:r>
    </w:p>
    <w:p w:rsidR="0059750B" w:rsidRDefault="0059750B" w:rsidP="0059750B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本教研室</w:t>
      </w:r>
      <w:r w:rsidRPr="0059750B">
        <w:rPr>
          <w:rFonts w:ascii="宋体" w:eastAsia="宋体" w:hAnsi="宋体" w:cs="Times New Roman" w:hint="eastAsia"/>
          <w:szCs w:val="21"/>
        </w:rPr>
        <w:t>鼓励教师结合专业特点和实际需要，采用符合我校人才培养目标和培养模式的高质量的教材。教材的选用应贯彻教材的“先进性和适应性”原则，严把教材选用质量关，鼓励教师积极开展教材研究和评价，在此基础上，主要选用由教育部推荐的本科教材和专业系列教材，有意识地提高教材选用的科学性、系统性、前沿性和针对性。结合专业结构的调整，加快教材的更新。做到教材建设与教学改革同步，以教材改革促进教学内容的优化。</w:t>
      </w:r>
    </w:p>
    <w:p w:rsidR="00DF06A7" w:rsidRPr="00DF06A7" w:rsidRDefault="00DF06A7" w:rsidP="00DF06A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F06A7">
        <w:rPr>
          <w:rFonts w:ascii="宋体" w:eastAsia="宋体" w:hAnsi="宋体" w:cs="Times New Roman" w:hint="eastAsia"/>
          <w:szCs w:val="21"/>
        </w:rPr>
        <w:t>主要教材使用情况</w:t>
      </w:r>
      <w:r>
        <w:rPr>
          <w:rFonts w:ascii="宋体" w:eastAsia="宋体" w:hAnsi="宋体" w:cs="Times New Roman" w:hint="eastAsia"/>
          <w:szCs w:val="21"/>
        </w:rPr>
        <w:t>一览</w:t>
      </w:r>
      <w:r w:rsidRPr="00DF06A7">
        <w:rPr>
          <w:rFonts w:ascii="宋体" w:eastAsia="宋体" w:hAnsi="宋体" w:cs="Times New Roman" w:hint="eastAsia"/>
          <w:szCs w:val="21"/>
        </w:rPr>
        <w:t>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701"/>
        <w:gridCol w:w="1134"/>
        <w:gridCol w:w="850"/>
        <w:gridCol w:w="2278"/>
      </w:tblGrid>
      <w:tr w:rsidR="00DF06A7" w:rsidRPr="00DF06A7" w:rsidTr="00733B3D">
        <w:trPr>
          <w:trHeight w:val="916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b/>
                <w:szCs w:val="21"/>
              </w:rPr>
              <w:t>教材名称</w:t>
            </w: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b/>
                <w:szCs w:val="21"/>
              </w:rPr>
              <w:t>出版社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b/>
                <w:szCs w:val="21"/>
              </w:rPr>
              <w:t>作者</w:t>
            </w:r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b/>
                <w:szCs w:val="21"/>
              </w:rPr>
              <w:t>出版</w:t>
            </w:r>
          </w:p>
          <w:p w:rsidR="00DF06A7" w:rsidRPr="00DF06A7" w:rsidRDefault="00DF06A7" w:rsidP="00DF06A7">
            <w:pPr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b/>
                <w:szCs w:val="21"/>
              </w:rPr>
              <w:t>入选规划或获奖情况</w:t>
            </w:r>
          </w:p>
        </w:tc>
      </w:tr>
      <w:tr w:rsidR="00DF06A7" w:rsidRPr="00DF06A7" w:rsidTr="00733B3D">
        <w:trPr>
          <w:trHeight w:val="897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计量经济学</w:t>
            </w: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高等教育出版社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李子奈</w:t>
            </w:r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2010.3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“十一五”国家级规划教材、面向21世纪课程教材</w:t>
            </w:r>
          </w:p>
        </w:tc>
      </w:tr>
      <w:tr w:rsidR="00DF06A7" w:rsidRPr="00DF06A7" w:rsidTr="00733B3D">
        <w:trPr>
          <w:trHeight w:val="916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管理运筹学</w:t>
            </w: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高等教育出版社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韩伯棠</w:t>
            </w:r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2007.9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“十一五”国家级规划教材</w:t>
            </w:r>
          </w:p>
        </w:tc>
      </w:tr>
      <w:tr w:rsidR="00DF06A7" w:rsidRPr="00DF06A7" w:rsidTr="00733B3D">
        <w:trPr>
          <w:trHeight w:val="810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统计学</w:t>
            </w: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高等教育出版社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袁卫</w:t>
            </w:r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2011.5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面向21世纪课程教材</w:t>
            </w:r>
          </w:p>
        </w:tc>
      </w:tr>
      <w:tr w:rsidR="00DF06A7" w:rsidRPr="00DF06A7" w:rsidTr="00733B3D">
        <w:trPr>
          <w:trHeight w:val="916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概率论与数理统计</w:t>
            </w: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概率论与数理统计简明教程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proofErr w:type="gramStart"/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茆诗松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2011.2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“十一五”国家级规划教材</w:t>
            </w:r>
          </w:p>
        </w:tc>
      </w:tr>
      <w:tr w:rsidR="00DF06A7" w:rsidRPr="00DF06A7" w:rsidTr="00733B3D">
        <w:trPr>
          <w:trHeight w:val="469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线性代数</w:t>
            </w: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高等教育出版社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proofErr w:type="gramStart"/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吴赣昌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2010.8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“十一五”国家级规划教材</w:t>
            </w:r>
          </w:p>
        </w:tc>
      </w:tr>
      <w:tr w:rsidR="00DF06A7" w:rsidRPr="00DF06A7" w:rsidTr="00733B3D">
        <w:trPr>
          <w:trHeight w:val="469"/>
          <w:jc w:val="center"/>
        </w:trPr>
        <w:tc>
          <w:tcPr>
            <w:tcW w:w="131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高等数学</w:t>
            </w:r>
          </w:p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高等教育出版社</w:t>
            </w:r>
          </w:p>
        </w:tc>
        <w:tc>
          <w:tcPr>
            <w:tcW w:w="1134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同济大学数学系</w:t>
            </w:r>
          </w:p>
        </w:tc>
        <w:tc>
          <w:tcPr>
            <w:tcW w:w="850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2007.4</w:t>
            </w:r>
          </w:p>
        </w:tc>
        <w:tc>
          <w:tcPr>
            <w:tcW w:w="2278" w:type="dxa"/>
            <w:shd w:val="clear" w:color="auto" w:fill="auto"/>
          </w:tcPr>
          <w:p w:rsidR="00DF06A7" w:rsidRPr="00DF06A7" w:rsidRDefault="00DF06A7" w:rsidP="00DF06A7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DF06A7">
              <w:rPr>
                <w:rFonts w:ascii="楷体_GB2312" w:eastAsia="楷体_GB2312" w:hAnsi="Times New Roman" w:cs="Times New Roman" w:hint="eastAsia"/>
                <w:szCs w:val="21"/>
              </w:rPr>
              <w:t>“十二五”普通高等教育本科国家级规划教材</w:t>
            </w:r>
          </w:p>
        </w:tc>
      </w:tr>
    </w:tbl>
    <w:p w:rsidR="00DF06A7" w:rsidRPr="0059750B" w:rsidRDefault="00DF06A7" w:rsidP="0059750B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59750B" w:rsidRPr="0059750B" w:rsidRDefault="0059750B" w:rsidP="0059750B">
      <w:pPr>
        <w:jc w:val="left"/>
        <w:rPr>
          <w:rFonts w:asciiTheme="minorEastAsia" w:hAnsiTheme="minorEastAsia"/>
          <w:szCs w:val="21"/>
        </w:rPr>
      </w:pPr>
    </w:p>
    <w:sectPr w:rsidR="0059750B" w:rsidRPr="0059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D2" w:rsidRDefault="00BC36D2" w:rsidP="0059750B">
      <w:r>
        <w:separator/>
      </w:r>
    </w:p>
  </w:endnote>
  <w:endnote w:type="continuationSeparator" w:id="0">
    <w:p w:rsidR="00BC36D2" w:rsidRDefault="00BC36D2" w:rsidP="0059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D2" w:rsidRDefault="00BC36D2" w:rsidP="0059750B">
      <w:r>
        <w:separator/>
      </w:r>
    </w:p>
  </w:footnote>
  <w:footnote w:type="continuationSeparator" w:id="0">
    <w:p w:rsidR="00BC36D2" w:rsidRDefault="00BC36D2" w:rsidP="0059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A1"/>
    <w:rsid w:val="00185EC5"/>
    <w:rsid w:val="0059750B"/>
    <w:rsid w:val="00625DA1"/>
    <w:rsid w:val="00853824"/>
    <w:rsid w:val="00981F03"/>
    <w:rsid w:val="00AD619E"/>
    <w:rsid w:val="00BC36D2"/>
    <w:rsid w:val="00D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6</cp:revision>
  <dcterms:created xsi:type="dcterms:W3CDTF">2015-10-20T12:04:00Z</dcterms:created>
  <dcterms:modified xsi:type="dcterms:W3CDTF">2015-10-20T12:10:00Z</dcterms:modified>
</cp:coreProperties>
</file>